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仿宋_GB2312" w:hAnsi="仿宋" w:eastAsia="仿宋_GB2312"/>
          <w:sz w:val="32"/>
          <w:szCs w:val="32"/>
        </w:rPr>
      </w:pPr>
      <w:r>
        <w:rPr>
          <w:rFonts w:hint="eastAsia" w:ascii="仿宋_GB2312" w:hAnsi="仿宋" w:eastAsia="仿宋_GB2312"/>
          <w:sz w:val="32"/>
          <w:szCs w:val="32"/>
        </w:rPr>
        <w:t>附件2</w:t>
      </w:r>
    </w:p>
    <w:p>
      <w:pPr>
        <w:spacing w:line="620" w:lineRule="exact"/>
        <w:rPr>
          <w:rFonts w:hint="eastAsia" w:ascii="仿宋_GB2312" w:hAnsi="仿宋" w:eastAsia="仿宋_GB2312"/>
          <w:sz w:val="32"/>
          <w:szCs w:val="32"/>
        </w:rPr>
      </w:pPr>
    </w:p>
    <w:p>
      <w:pPr>
        <w:spacing w:line="620" w:lineRule="exact"/>
        <w:jc w:val="center"/>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sz w:val="44"/>
          <w:szCs w:val="44"/>
        </w:rPr>
        <w:t>相关法律法规规定</w:t>
      </w:r>
    </w:p>
    <w:p>
      <w:pPr>
        <w:spacing w:line="620" w:lineRule="exact"/>
        <w:jc w:val="center"/>
        <w:rPr>
          <w:rFonts w:ascii="仿宋_GB2312" w:hAnsi="仿宋" w:eastAsia="仿宋_GB2312"/>
          <w:b/>
          <w:bCs/>
          <w:sz w:val="32"/>
          <w:szCs w:val="32"/>
        </w:rPr>
      </w:pPr>
    </w:p>
    <w:p>
      <w:pPr>
        <w:spacing w:line="620" w:lineRule="exact"/>
        <w:ind w:firstLine="640" w:firstLineChars="200"/>
        <w:rPr>
          <w:rFonts w:ascii="黑体" w:hAnsi="黑体" w:eastAsia="黑体"/>
          <w:bCs/>
          <w:sz w:val="32"/>
          <w:szCs w:val="32"/>
        </w:rPr>
      </w:pPr>
      <w:r>
        <w:rPr>
          <w:rFonts w:hint="eastAsia" w:ascii="黑体" w:hAnsi="黑体" w:eastAsia="黑体"/>
          <w:bCs/>
          <w:sz w:val="32"/>
          <w:szCs w:val="32"/>
        </w:rPr>
        <w:t>一、《政府采购进口产品管理办法》（财库〔2007〕119号）</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第三条  本办法所称进口产品是指通过中国海关报关验放进入中国境内且产自关境外的产品。</w:t>
      </w:r>
    </w:p>
    <w:p>
      <w:pPr>
        <w:spacing w:line="620" w:lineRule="exact"/>
        <w:ind w:firstLine="640" w:firstLineChars="200"/>
        <w:rPr>
          <w:rFonts w:ascii="黑体" w:hAnsi="黑体" w:eastAsia="黑体"/>
          <w:bCs/>
          <w:sz w:val="32"/>
          <w:szCs w:val="32"/>
        </w:rPr>
      </w:pPr>
      <w:r>
        <w:rPr>
          <w:rFonts w:hint="eastAsia" w:ascii="黑体" w:hAnsi="黑体" w:eastAsia="黑体"/>
          <w:bCs/>
          <w:sz w:val="32"/>
          <w:szCs w:val="32"/>
        </w:rPr>
        <w:t>二、《政府采购货物和服务招标投标管理办法》（财政部令第87号，以下简称“87号令”）</w:t>
      </w:r>
    </w:p>
    <w:p>
      <w:pPr>
        <w:spacing w:line="62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第十七条 </w:t>
      </w:r>
      <w:r>
        <w:rPr>
          <w:rFonts w:ascii="仿宋_GB2312" w:hAnsi="黑体" w:eastAsia="仿宋_GB2312"/>
          <w:sz w:val="32"/>
          <w:szCs w:val="32"/>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pPr>
        <w:spacing w:line="62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第三十七条 </w:t>
      </w:r>
      <w:r>
        <w:rPr>
          <w:rFonts w:ascii="仿宋_GB2312" w:hAnsi="黑体" w:eastAsia="仿宋_GB2312"/>
          <w:sz w:val="32"/>
          <w:szCs w:val="32"/>
        </w:rPr>
        <w:t>有下列情形之一的，视为投标人串通投标，其投标无效：</w:t>
      </w:r>
    </w:p>
    <w:p>
      <w:pPr>
        <w:spacing w:line="620" w:lineRule="exact"/>
        <w:rPr>
          <w:rFonts w:ascii="仿宋_GB2312" w:hAnsi="黑体" w:eastAsia="仿宋_GB2312"/>
          <w:sz w:val="32"/>
          <w:szCs w:val="32"/>
        </w:rPr>
      </w:pPr>
      <w:r>
        <w:rPr>
          <w:rFonts w:ascii="仿宋_GB2312" w:hAnsi="黑体" w:eastAsia="仿宋_GB2312"/>
          <w:sz w:val="32"/>
          <w:szCs w:val="32"/>
        </w:rPr>
        <w:t>　　（一）不同投标人的投标文件由同一单位或者个人编制；</w:t>
      </w:r>
    </w:p>
    <w:p>
      <w:pPr>
        <w:spacing w:line="620" w:lineRule="exact"/>
        <w:rPr>
          <w:rFonts w:ascii="仿宋_GB2312" w:hAnsi="黑体" w:eastAsia="仿宋_GB2312"/>
          <w:sz w:val="32"/>
          <w:szCs w:val="32"/>
        </w:rPr>
      </w:pPr>
      <w:r>
        <w:rPr>
          <w:rFonts w:ascii="仿宋_GB2312" w:hAnsi="黑体" w:eastAsia="仿宋_GB2312"/>
          <w:sz w:val="32"/>
          <w:szCs w:val="32"/>
        </w:rPr>
        <w:t>　　（二）不同投标人委托同一单位或者个人办理投标事宜；</w:t>
      </w:r>
    </w:p>
    <w:p>
      <w:pPr>
        <w:spacing w:line="620" w:lineRule="exact"/>
        <w:rPr>
          <w:rFonts w:ascii="仿宋_GB2312" w:hAnsi="黑体" w:eastAsia="仿宋_GB2312"/>
          <w:sz w:val="32"/>
          <w:szCs w:val="32"/>
        </w:rPr>
      </w:pPr>
      <w:r>
        <w:rPr>
          <w:rFonts w:ascii="仿宋_GB2312" w:hAnsi="黑体" w:eastAsia="仿宋_GB2312"/>
          <w:sz w:val="32"/>
          <w:szCs w:val="32"/>
        </w:rPr>
        <w:t>　　（三）不同投标人的投标文件载明的项目管理成员或者联系人员为同一人；</w:t>
      </w:r>
    </w:p>
    <w:p>
      <w:pPr>
        <w:spacing w:line="620" w:lineRule="exact"/>
        <w:rPr>
          <w:rFonts w:ascii="仿宋_GB2312" w:hAnsi="黑体" w:eastAsia="仿宋_GB2312"/>
          <w:sz w:val="32"/>
          <w:szCs w:val="32"/>
        </w:rPr>
      </w:pPr>
      <w:r>
        <w:rPr>
          <w:rFonts w:ascii="仿宋_GB2312" w:hAnsi="黑体" w:eastAsia="仿宋_GB2312"/>
          <w:sz w:val="32"/>
          <w:szCs w:val="32"/>
        </w:rPr>
        <w:t>　　（四）不同投标人的投标文件异常一致或者投标报价呈规律性差异；</w:t>
      </w:r>
    </w:p>
    <w:p>
      <w:pPr>
        <w:spacing w:line="620" w:lineRule="exact"/>
        <w:rPr>
          <w:rFonts w:ascii="仿宋_GB2312" w:hAnsi="黑体" w:eastAsia="仿宋_GB2312"/>
          <w:sz w:val="32"/>
          <w:szCs w:val="32"/>
        </w:rPr>
      </w:pPr>
      <w:r>
        <w:rPr>
          <w:rFonts w:ascii="仿宋_GB2312" w:hAnsi="黑体" w:eastAsia="仿宋_GB2312"/>
          <w:sz w:val="32"/>
          <w:szCs w:val="32"/>
        </w:rPr>
        <w:t>　　（五）不同投标人的投标文件相互混装；</w:t>
      </w:r>
    </w:p>
    <w:p>
      <w:pPr>
        <w:spacing w:line="620" w:lineRule="exact"/>
        <w:rPr>
          <w:rFonts w:ascii="仿宋_GB2312" w:hAnsi="黑体" w:eastAsia="仿宋_GB2312"/>
          <w:sz w:val="32"/>
          <w:szCs w:val="32"/>
        </w:rPr>
      </w:pPr>
      <w:r>
        <w:rPr>
          <w:rFonts w:ascii="仿宋_GB2312" w:hAnsi="黑体" w:eastAsia="仿宋_GB2312"/>
          <w:sz w:val="32"/>
          <w:szCs w:val="32"/>
        </w:rPr>
        <w:t>　　（六）不同投标人的投标保证金从同一单位或者个人的账户转出。</w:t>
      </w:r>
    </w:p>
    <w:p>
      <w:pPr>
        <w:spacing w:line="62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第六十条 </w:t>
      </w:r>
      <w:r>
        <w:rPr>
          <w:rFonts w:ascii="仿宋_GB2312" w:hAnsi="黑体" w:eastAsia="仿宋_GB2312"/>
          <w:sz w:val="32"/>
          <w:szCs w:val="32"/>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62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第六十三条 </w:t>
      </w:r>
      <w:r>
        <w:rPr>
          <w:rFonts w:ascii="仿宋_GB2312" w:hAnsi="黑体" w:eastAsia="仿宋_GB2312"/>
          <w:sz w:val="32"/>
          <w:szCs w:val="32"/>
        </w:rPr>
        <w:t>投标人存在下列情况之一的，投标无效:</w:t>
      </w:r>
    </w:p>
    <w:p>
      <w:pPr>
        <w:spacing w:line="620" w:lineRule="exact"/>
        <w:rPr>
          <w:rFonts w:ascii="仿宋_GB2312" w:hAnsi="黑体" w:eastAsia="仿宋_GB2312"/>
          <w:sz w:val="32"/>
          <w:szCs w:val="32"/>
        </w:rPr>
      </w:pPr>
      <w:r>
        <w:rPr>
          <w:rFonts w:ascii="仿宋_GB2312" w:hAnsi="黑体" w:eastAsia="仿宋_GB2312"/>
          <w:sz w:val="32"/>
          <w:szCs w:val="32"/>
        </w:rPr>
        <w:t>　　（一）未按照招标文件的规定提交投标保证金的；</w:t>
      </w:r>
    </w:p>
    <w:p>
      <w:pPr>
        <w:spacing w:line="620" w:lineRule="exact"/>
        <w:rPr>
          <w:rFonts w:ascii="仿宋_GB2312" w:hAnsi="黑体" w:eastAsia="仿宋_GB2312"/>
          <w:sz w:val="32"/>
          <w:szCs w:val="32"/>
        </w:rPr>
      </w:pPr>
      <w:r>
        <w:rPr>
          <w:rFonts w:ascii="仿宋_GB2312" w:hAnsi="黑体" w:eastAsia="仿宋_GB2312"/>
          <w:sz w:val="32"/>
          <w:szCs w:val="32"/>
        </w:rPr>
        <w:t>　　（二）投标文件未按招标文件要求签署、盖章的；</w:t>
      </w:r>
    </w:p>
    <w:p>
      <w:pPr>
        <w:spacing w:line="620" w:lineRule="exact"/>
        <w:rPr>
          <w:rFonts w:ascii="仿宋_GB2312" w:hAnsi="黑体" w:eastAsia="仿宋_GB2312"/>
          <w:sz w:val="32"/>
          <w:szCs w:val="32"/>
        </w:rPr>
      </w:pPr>
      <w:r>
        <w:rPr>
          <w:rFonts w:ascii="仿宋_GB2312" w:hAnsi="黑体" w:eastAsia="仿宋_GB2312"/>
          <w:sz w:val="32"/>
          <w:szCs w:val="32"/>
        </w:rPr>
        <w:t>　　（三）不具备招标文件中规定的资格要求的；</w:t>
      </w:r>
    </w:p>
    <w:p>
      <w:pPr>
        <w:spacing w:line="620" w:lineRule="exact"/>
        <w:rPr>
          <w:rFonts w:ascii="仿宋_GB2312" w:hAnsi="黑体" w:eastAsia="仿宋_GB2312"/>
          <w:sz w:val="32"/>
          <w:szCs w:val="32"/>
        </w:rPr>
      </w:pPr>
      <w:r>
        <w:rPr>
          <w:rFonts w:ascii="仿宋_GB2312" w:hAnsi="黑体" w:eastAsia="仿宋_GB2312"/>
          <w:sz w:val="32"/>
          <w:szCs w:val="32"/>
        </w:rPr>
        <w:t>　　（四）报价超过招标文件中规定的预算金额或者最高限价的；</w:t>
      </w:r>
    </w:p>
    <w:p>
      <w:pPr>
        <w:spacing w:line="620" w:lineRule="exact"/>
        <w:rPr>
          <w:rFonts w:ascii="仿宋_GB2312" w:hAnsi="黑体" w:eastAsia="仿宋_GB2312"/>
          <w:sz w:val="32"/>
          <w:szCs w:val="32"/>
        </w:rPr>
      </w:pPr>
      <w:r>
        <w:rPr>
          <w:rFonts w:ascii="仿宋_GB2312" w:hAnsi="黑体" w:eastAsia="仿宋_GB2312"/>
          <w:sz w:val="32"/>
          <w:szCs w:val="32"/>
        </w:rPr>
        <w:t>　　（五）投标文件含有采购人不能接受的附加条件的;</w:t>
      </w:r>
    </w:p>
    <w:p>
      <w:pPr>
        <w:spacing w:line="620" w:lineRule="exact"/>
        <w:rPr>
          <w:rFonts w:ascii="仿宋_GB2312" w:hAnsi="黑体" w:eastAsia="仿宋_GB2312"/>
          <w:sz w:val="32"/>
          <w:szCs w:val="32"/>
        </w:rPr>
      </w:pPr>
      <w:r>
        <w:rPr>
          <w:rFonts w:ascii="仿宋_GB2312" w:hAnsi="黑体" w:eastAsia="仿宋_GB2312"/>
          <w:sz w:val="32"/>
          <w:szCs w:val="32"/>
        </w:rPr>
        <w:t>　　（六）法律、法规和招标文件规定的其他无效情形。</w:t>
      </w:r>
    </w:p>
    <w:p>
      <w:pPr>
        <w:spacing w:line="620" w:lineRule="exact"/>
        <w:ind w:firstLine="640" w:firstLineChars="200"/>
        <w:rPr>
          <w:rFonts w:ascii="黑体" w:hAnsi="黑体" w:eastAsia="黑体"/>
          <w:bCs/>
          <w:sz w:val="32"/>
          <w:szCs w:val="32"/>
        </w:rPr>
      </w:pPr>
      <w:r>
        <w:rPr>
          <w:rFonts w:hint="eastAsia" w:ascii="黑体" w:hAnsi="黑体" w:eastAsia="黑体"/>
          <w:bCs/>
          <w:sz w:val="32"/>
          <w:szCs w:val="32"/>
        </w:rPr>
        <w:t>三、《政府采购质疑和投诉办法》（财政部令第94号）</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第十六条 采购人、采购代理机构认为供应商质疑不成立，或者成立但未对中标、成交结果构成影响的，继续开展采购活动；认为供应商质疑成立且影响或者可能影响中标、成交结果的，按照下列情况处理：</w:t>
      </w:r>
    </w:p>
    <w:p>
      <w:pPr>
        <w:spacing w:line="620" w:lineRule="exact"/>
        <w:rPr>
          <w:rFonts w:ascii="仿宋_GB2312" w:eastAsia="仿宋_GB2312"/>
          <w:sz w:val="32"/>
          <w:szCs w:val="32"/>
        </w:rPr>
      </w:pPr>
      <w:r>
        <w:rPr>
          <w:rFonts w:hint="eastAsia" w:ascii="仿宋_GB2312" w:eastAsia="仿宋_GB2312"/>
          <w:sz w:val="32"/>
          <w:szCs w:val="32"/>
        </w:rPr>
        <w:t>　　(一)对采购文件提出的质疑，依法通过澄清或者修改可以继续开展采购活动的，澄清或者修改采购文件后继续开展采购活动；否则应当修改采购文件后重新开展采购活动。</w:t>
      </w:r>
    </w:p>
    <w:p>
      <w:pPr>
        <w:spacing w:line="620" w:lineRule="exact"/>
        <w:rPr>
          <w:rFonts w:ascii="仿宋_GB2312" w:eastAsia="仿宋_GB2312"/>
          <w:sz w:val="32"/>
          <w:szCs w:val="32"/>
        </w:rPr>
      </w:pPr>
      <w:r>
        <w:rPr>
          <w:rFonts w:hint="eastAsia" w:ascii="仿宋_GB2312" w:eastAsia="仿宋_GB2312"/>
          <w:sz w:val="32"/>
          <w:szCs w:val="32"/>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pPr>
        <w:spacing w:line="620" w:lineRule="exact"/>
        <w:ind w:firstLine="640" w:firstLineChars="200"/>
        <w:rPr>
          <w:rFonts w:ascii="黑体" w:hAnsi="黑体" w:eastAsia="黑体"/>
          <w:bCs/>
          <w:sz w:val="32"/>
          <w:szCs w:val="32"/>
        </w:rPr>
      </w:pPr>
      <w:r>
        <w:rPr>
          <w:rFonts w:hint="eastAsia" w:ascii="黑体" w:hAnsi="黑体" w:eastAsia="黑体"/>
          <w:bCs/>
          <w:sz w:val="32"/>
          <w:szCs w:val="32"/>
        </w:rPr>
        <w:t>四、《关于在政府采购活动中查询及使用信用记录有关问题的通知》（财库〔2016〕125号）</w:t>
      </w:r>
    </w:p>
    <w:p>
      <w:pPr>
        <w:spacing w:line="620" w:lineRule="exact"/>
        <w:ind w:firstLine="640" w:firstLineChars="200"/>
        <w:rPr>
          <w:rFonts w:ascii="仿宋_GB2312" w:hAnsi="仿宋" w:eastAsia="仿宋_GB2312"/>
          <w:sz w:val="32"/>
          <w:szCs w:val="32"/>
        </w:rPr>
      </w:pPr>
      <w:r>
        <w:rPr>
          <w:rFonts w:ascii="仿宋_GB2312" w:hAnsi="仿宋" w:eastAsia="仿宋_GB2312"/>
          <w:sz w:val="32"/>
          <w:szCs w:val="32"/>
        </w:rPr>
        <w:t>……(三)信用记录的使用。</w:t>
      </w:r>
      <w:r>
        <w:rPr>
          <w:rFonts w:hint="eastAsia" w:ascii="仿宋_GB2312" w:hAnsi="仿宋" w:eastAsia="仿宋_GB2312"/>
          <w:sz w:val="32"/>
          <w:szCs w:val="32"/>
        </w:rPr>
        <w:t>采购人、采购代理机构认为供应商质疑不成立，或者成立但未对中标、成交结果构成影响的，继续开展采购活动；认为供应商质疑成立且影响或者可能影响中标、成交结果的，按照下列情况处理：</w:t>
      </w:r>
    </w:p>
    <w:p>
      <w:pPr>
        <w:spacing w:line="620" w:lineRule="exact"/>
        <w:rPr>
          <w:rFonts w:ascii="仿宋_GB2312" w:hAnsi="仿宋" w:eastAsia="仿宋_GB2312"/>
          <w:sz w:val="32"/>
          <w:szCs w:val="32"/>
        </w:rPr>
      </w:pPr>
      <w:r>
        <w:rPr>
          <w:rFonts w:hint="eastAsia" w:ascii="仿宋_GB2312" w:hAnsi="仿宋" w:eastAsia="仿宋_GB2312"/>
          <w:sz w:val="32"/>
          <w:szCs w:val="32"/>
        </w:rPr>
        <w:t>　　(一)对采购文件提出的质疑，依法通过澄清或者修改可以继续开展采购活动的，澄清或者修改采购文件后继续开展采购活动；否则应当修改采购文件后重新开展采购活动。</w:t>
      </w:r>
    </w:p>
    <w:p>
      <w:pPr>
        <w:tabs>
          <w:tab w:val="left" w:pos="4975"/>
        </w:tabs>
        <w:spacing w:line="620" w:lineRule="exact"/>
      </w:pPr>
      <w:r>
        <w:rPr>
          <w:rFonts w:hint="eastAsia" w:ascii="仿宋_GB2312" w:hAnsi="仿宋" w:eastAsia="仿宋_GB2312"/>
          <w:sz w:val="32"/>
          <w:szCs w:val="32"/>
        </w:rPr>
        <w:t>　　(二)对采购过程、中标或者成交结果提出的质疑，合格供应商符合法定数量时，可以从合格的中标或者成交候选人中另行确定中标、成交供应商的，应当依法另行确定中标、成交供应商；否则应当重新开展采购活动。</w:t>
      </w:r>
    </w:p>
    <w:p/>
    <w:sectPr>
      <w:headerReference r:id="rId3" w:type="default"/>
      <w:footerReference r:id="rId5" w:type="default"/>
      <w:headerReference r:id="rId4" w:type="even"/>
      <w:footerReference r:id="rId6"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23</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QQVQK8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29AZJY5bHNH+x8v+5+/9r2cyvcj96QPUmPYUMDEN137AOY9+QGeWPaho8xcF&#10;EYxjp3en7sohEZEfzWfzeYUhgbHxgvjs9XmIkO6ktyQbDY04vtJVvv0C6ZA6puRqzt9qY8oIjfvH&#10;gZjZwzL3A8dspWE1HAWtfLtDPT1OvqEOV5MSc++wsXlJRiOOxmo0NiHqdYfUpoUXhKtNQhKFW65w&#10;gD0WxpEVdcf1yjvx971kvf4E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QQVQK8BAABM&#10;AwAADgAAAAAAAAABACAAAAAeAQAAZHJzL2Uyb0RvYy54bWxQSwUGAAAAAAYABgBZAQAAPwUAAAAA&#10;">
              <v:fill on="f" focussize="0,0"/>
              <v:stroke on="f"/>
              <v:imagedata o:title=""/>
              <o:lock v:ext="edit" aspectratio="f"/>
              <v:textbox inset="0mm,0mm,0mm,0mm" style="mso-fit-shape-to-text:t;">
                <w:txbxContent>
                  <w:p>
                    <w:pPr>
                      <w:pStyle w:val="2"/>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23</w:t>
                    </w:r>
                    <w:r>
                      <w:rPr>
                        <w:rFonts w:hint="eastAsia" w:asciiTheme="minorEastAsia" w:hAnsiTheme="minorEastAsia" w:eastAsiaTheme="minorEastAsia" w:cstheme="minorEastAsia"/>
                        <w:sz w:val="28"/>
                        <w:szCs w:val="28"/>
                      </w:rPr>
                      <w:fldChar w:fldCharType="end"/>
                    </w:r>
                  </w:p>
                </w:txbxContent>
              </v:textbox>
            </v:shape>
          </w:pict>
        </mc:Fallback>
      </mc:AlternateContent>
    </w:r>
  </w:p>
  <w:p>
    <w:r>
      <w:pict>
        <v:shape id="_x0000_s2050" o:spid="_x0000_s2050" o:spt="136" type="#_x0000_t136" style="position:absolute;left:0pt;height:35pt;width:420pt;mso-position-horizontal:center;mso-position-horizontal-relative:page;mso-position-vertical:center;mso-position-vertical-relative:page;rotation:-2621440f;z-index:251667456;mso-width-relative:page;mso-height-relative:page;" fillcolor="#E0E0E0" filled="t" stroked="t" coordsize="21600,21600">
          <v:path/>
          <v:fill on="t" focussize="0,0"/>
          <v:stroke color="#E0E0E0"/>
          <v:imagedata o:title=""/>
          <o:lock v:ext="edit"/>
          <v:textpath on="t" fitshape="t" fitpath="t" trim="f" xscale="f" string="szxuyuan 2020-05-29 17:22:19" style="font-family:Arial;font-size:36pt;v-text-align:cen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2" o:spid="_x0000_s2052" o:spt="136" type="#_x0000_t136" style="position:absolute;left:0pt;height:35pt;width:420pt;mso-position-horizontal:center;mso-position-horizontal-relative:page;mso-position-vertical:center;mso-position-vertical-relative:page;rotation:-2621440f;z-index:251670528;mso-width-relative:page;mso-height-relative:page;" fillcolor="#E0E0E0" filled="t" stroked="t" coordsize="21600,21600">
          <v:path/>
          <v:fill on="t" focussize="0,0"/>
          <v:stroke color="#E0E0E0"/>
          <v:imagedata o:title=""/>
          <o:lock v:ext="edit"/>
          <v:textpath on="t" fitshape="t" fitpath="t" trim="f" xscale="f" string="szxuyuan 2020-05-29 17:22:19" style="font-family:Arial;font-size:36pt;v-text-align:center;"/>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136" type="#_x0000_t136" style="position:absolute;left:0pt;height:35pt;width:420pt;mso-position-horizontal:center;mso-position-horizontal-relative:page;mso-position-vertical:center;mso-position-vertical-relative:page;rotation:-2621440f;z-index:251668480;mso-width-relative:page;mso-height-relative:page;" fillcolor="#E0E0E0" filled="t" stroked="t" coordsize="21600,21600">
          <v:path/>
          <v:fill on="t" focussize="0,0"/>
          <v:stroke color="#E0E0E0"/>
          <v:imagedata o:title=""/>
          <o:lock v:ext="edit"/>
          <v:textpath on="t" fitshape="t" fitpath="t" trim="f" xscale="f" string="szxuyuan 2020-05-29 17:22:19" style="font-family:Arial;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1" o:spid="_x0000_s2051" o:spt="136" type="#_x0000_t136" style="position:absolute;left:0pt;height:35pt;width:420pt;mso-position-horizontal:center;mso-position-horizontal-relative:page;mso-position-vertical:center;mso-position-vertical-relative:page;rotation:-2621440f;z-index:251669504;mso-width-relative:page;mso-height-relative:page;" fillcolor="#E0E0E0" filled="t" stroked="t" coordsize="21600,21600">
          <v:path/>
          <v:fill on="t" focussize="0,0"/>
          <v:stroke color="#E0E0E0"/>
          <v:imagedata o:title=""/>
          <o:lock v:ext="edit"/>
          <v:textpath on="t" fitshape="t" fitpath="t" trim="f" xscale="f" string="szxuyuan 2020-05-29 17:22:19"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BB0F4D"/>
    <w:rsid w:val="6DBB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26"/>
    <customShpInfo spid="_x0000_s2050"/>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2020-05-29T09:26:00Z</dcterms:created>
  <dc:creator>小圆</dc:creator>
  <cp:lastModifiedBy>小圆</cp:lastModifiedBy>
  <dcterms:modified xsi:type="dcterms:W3CDTF">2020-05-29T09:26:46Z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